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9007" w14:textId="05564967" w:rsidR="00A609CE" w:rsidRPr="00ED5976" w:rsidRDefault="000E6C78" w:rsidP="003E58EB">
      <w:pPr>
        <w:jc w:val="center"/>
        <w:rPr>
          <w:b/>
          <w:bCs/>
        </w:rPr>
      </w:pPr>
      <w:r w:rsidRPr="00ED5976">
        <w:rPr>
          <w:rFonts w:hint="eastAsia"/>
          <w:b/>
          <w:bCs/>
        </w:rPr>
        <w:t>虚拟化平台</w:t>
      </w:r>
      <w:r w:rsidR="00CC6DFE">
        <w:rPr>
          <w:rFonts w:hint="eastAsia"/>
          <w:b/>
          <w:bCs/>
        </w:rPr>
        <w:t>存储扩容及服务器</w:t>
      </w:r>
      <w:r w:rsidR="00296FB5">
        <w:rPr>
          <w:rFonts w:hint="eastAsia"/>
          <w:b/>
          <w:bCs/>
        </w:rPr>
        <w:t>延保</w:t>
      </w:r>
      <w:r w:rsidR="00D4783B">
        <w:rPr>
          <w:rFonts w:hint="eastAsia"/>
          <w:b/>
          <w:bCs/>
        </w:rPr>
        <w:t>需求</w:t>
      </w:r>
    </w:p>
    <w:p w14:paraId="07362A66" w14:textId="77777777" w:rsidR="00FD24CC" w:rsidRPr="00703514" w:rsidRDefault="000D1A7D" w:rsidP="00305331">
      <w:r w:rsidRPr="00703514">
        <w:rPr>
          <w:rFonts w:hint="eastAsia"/>
        </w:rPr>
        <w:t>一</w:t>
      </w:r>
      <w:r w:rsidR="00FD24CC" w:rsidRPr="00703514">
        <w:rPr>
          <w:rFonts w:hint="eastAsia"/>
        </w:rPr>
        <w:t>、服务要求</w:t>
      </w:r>
    </w:p>
    <w:p w14:paraId="440533F7" w14:textId="1F999F45" w:rsidR="00BE0A07" w:rsidRPr="00703514" w:rsidRDefault="00305331" w:rsidP="00305331">
      <w:r w:rsidRPr="00703514">
        <w:rPr>
          <w:rFonts w:hint="eastAsia"/>
        </w:rPr>
        <w:t>1、</w:t>
      </w:r>
      <w:r w:rsidR="00CC6DFE">
        <w:rPr>
          <w:rFonts w:hint="eastAsia"/>
        </w:rPr>
        <w:t>针对我校虚拟化平台的进行改造和优化，提高虚拟化平台的性能及可靠性，对虚拟化平台存在的问题的进行处理和优化，本次项目涉及的设备清单见技术需求</w:t>
      </w:r>
      <w:r w:rsidR="004A0C8F">
        <w:rPr>
          <w:rFonts w:hint="eastAsia"/>
        </w:rPr>
        <w:t>书</w:t>
      </w:r>
      <w:r w:rsidR="00CC6DFE" w:rsidRPr="00703514">
        <w:rPr>
          <w:rFonts w:hint="eastAsia"/>
        </w:rPr>
        <w:t>。</w:t>
      </w:r>
    </w:p>
    <w:p w14:paraId="1B7F1D11" w14:textId="69AAF72A" w:rsidR="00D44C77" w:rsidRDefault="001440F9" w:rsidP="00D44C77">
      <w:r w:rsidRPr="00703514">
        <w:t>2</w:t>
      </w:r>
      <w:r w:rsidR="00AE3EFB" w:rsidRPr="00703514">
        <w:rPr>
          <w:rFonts w:hint="eastAsia"/>
        </w:rPr>
        <w:t>、</w:t>
      </w:r>
      <w:r w:rsidR="00F9583C" w:rsidRPr="00703514">
        <w:rPr>
          <w:rFonts w:hint="eastAsia"/>
        </w:rPr>
        <w:t>自双方签署最终验收文件之日起，</w:t>
      </w:r>
      <w:r w:rsidR="00D44C77">
        <w:rPr>
          <w:rFonts w:hint="eastAsia"/>
        </w:rPr>
        <w:t>服务器固态硬盘和服务器机械硬盘</w:t>
      </w:r>
      <w:r w:rsidR="00D44C77" w:rsidRPr="00703514">
        <w:rPr>
          <w:rFonts w:hint="eastAsia"/>
        </w:rPr>
        <w:t>提供三年免费质保</w:t>
      </w:r>
      <w:r w:rsidR="00634574">
        <w:rPr>
          <w:rFonts w:hint="eastAsia"/>
        </w:rPr>
        <w:t>，并提供原厂授权书</w:t>
      </w:r>
      <w:r w:rsidR="00D44C77">
        <w:rPr>
          <w:rFonts w:hint="eastAsia"/>
        </w:rPr>
        <w:t>；</w:t>
      </w:r>
      <w:r w:rsidR="00D44C77" w:rsidRPr="00D44C77">
        <w:rPr>
          <w:rFonts w:hint="eastAsia"/>
        </w:rPr>
        <w:t>虚拟化平台运维服务</w:t>
      </w:r>
      <w:r w:rsidR="00D44C77">
        <w:rPr>
          <w:rFonts w:hint="eastAsia"/>
        </w:rPr>
        <w:t>服务期限为一年；★虚拟化平台服务器原厂延保须提供两年原厂延保服务，并</w:t>
      </w:r>
      <w:r w:rsidR="00D44C77" w:rsidRPr="00703514">
        <w:rPr>
          <w:rFonts w:hint="eastAsia"/>
        </w:rPr>
        <w:t>出具</w:t>
      </w:r>
      <w:r w:rsidR="00D44C77">
        <w:rPr>
          <w:rFonts w:hint="eastAsia"/>
        </w:rPr>
        <w:t>加盖</w:t>
      </w:r>
      <w:r w:rsidR="00D44C77" w:rsidRPr="00703514">
        <w:rPr>
          <w:rFonts w:hint="eastAsia"/>
        </w:rPr>
        <w:t>原厂</w:t>
      </w:r>
      <w:r w:rsidR="00D44C77">
        <w:rPr>
          <w:rFonts w:hint="eastAsia"/>
        </w:rPr>
        <w:t>公章的</w:t>
      </w:r>
      <w:r w:rsidR="00D44C77" w:rsidRPr="00703514">
        <w:rPr>
          <w:rFonts w:hint="eastAsia"/>
        </w:rPr>
        <w:t>售后服务承诺函</w:t>
      </w:r>
      <w:r w:rsidR="00D44C77">
        <w:rPr>
          <w:rFonts w:hint="eastAsia"/>
        </w:rPr>
        <w:t>扫描件，附在响应文件中。</w:t>
      </w:r>
    </w:p>
    <w:p w14:paraId="2FCCBB13" w14:textId="7F3495AF" w:rsidR="00AE3EFB" w:rsidRPr="00703514" w:rsidRDefault="005F7F96" w:rsidP="000D1A7D">
      <w:r>
        <w:rPr>
          <w:rFonts w:hint="eastAsia"/>
        </w:rPr>
        <w:t>3、</w:t>
      </w:r>
      <w:r w:rsidR="00F9583C" w:rsidRPr="00703514">
        <w:t>质保期内提供上门服务，确保2小时内响应，</w:t>
      </w:r>
      <w:r w:rsidR="0051215B">
        <w:t>4</w:t>
      </w:r>
      <w:r w:rsidR="00F9583C" w:rsidRPr="00703514">
        <w:t>小时到达现场，12 小时修复故障，若不</w:t>
      </w:r>
      <w:r w:rsidR="00F9583C" w:rsidRPr="00703514">
        <w:rPr>
          <w:rFonts w:hint="eastAsia"/>
        </w:rPr>
        <w:t>能修复，需在</w:t>
      </w:r>
      <w:r w:rsidR="00F9583C" w:rsidRPr="00703514">
        <w:t>24 小时内无条件更换相同型号产品。产品自售出之日起7日内，发生性能故障</w:t>
      </w:r>
      <w:r w:rsidR="00F9583C">
        <w:rPr>
          <w:rFonts w:hint="eastAsia"/>
        </w:rPr>
        <w:t>校方</w:t>
      </w:r>
      <w:r w:rsidR="00F9583C" w:rsidRPr="00703514">
        <w:rPr>
          <w:rFonts w:hint="eastAsia"/>
        </w:rPr>
        <w:t>可以选择退、换和修理。</w:t>
      </w:r>
    </w:p>
    <w:p w14:paraId="5C3187AA" w14:textId="57175951" w:rsidR="000D1A7D" w:rsidRPr="00703514" w:rsidRDefault="00C14658" w:rsidP="000D1A7D">
      <w:pPr>
        <w:rPr>
          <w:rFonts w:hint="eastAsia"/>
        </w:rPr>
      </w:pPr>
      <w:r>
        <w:t>4</w:t>
      </w:r>
      <w:r w:rsidR="000D1A7D" w:rsidRPr="00703514">
        <w:t>、</w:t>
      </w:r>
      <w:r w:rsidR="00F9583C" w:rsidRPr="00703514">
        <w:t>提供对最终用户免费培训服务计划的培训方案。培训要达到使业务操作人员能独立操作</w:t>
      </w:r>
      <w:r w:rsidR="00F9583C" w:rsidRPr="00703514">
        <w:rPr>
          <w:rFonts w:hint="eastAsia"/>
        </w:rPr>
        <w:t>各个系统</w:t>
      </w:r>
      <w:r w:rsidR="00F9583C" w:rsidRPr="00703514">
        <w:t>,并能熟练查阅培训资料，解决使用中遇到的问题。</w:t>
      </w:r>
      <w:bookmarkStart w:id="0" w:name="_GoBack"/>
      <w:bookmarkEnd w:id="0"/>
    </w:p>
    <w:p w14:paraId="255ECDD3" w14:textId="77777777" w:rsidR="009B64C9" w:rsidRPr="00703514" w:rsidRDefault="003963FF" w:rsidP="00305331">
      <w:r w:rsidRPr="00703514">
        <w:rPr>
          <w:rFonts w:hint="eastAsia"/>
        </w:rPr>
        <w:t>二</w:t>
      </w:r>
      <w:r w:rsidR="00B14B43" w:rsidRPr="00703514">
        <w:rPr>
          <w:rFonts w:hint="eastAsia"/>
        </w:rPr>
        <w:t>、</w:t>
      </w:r>
      <w:r w:rsidR="00840E51" w:rsidRPr="00703514">
        <w:rPr>
          <w:rFonts w:hint="eastAsia"/>
        </w:rPr>
        <w:t>技术需求书</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51"/>
        <w:gridCol w:w="6203"/>
        <w:gridCol w:w="707"/>
        <w:gridCol w:w="851"/>
      </w:tblGrid>
      <w:tr w:rsidR="00D33AFC" w:rsidRPr="00703514" w14:paraId="7657E928" w14:textId="77777777" w:rsidTr="003963FF">
        <w:trPr>
          <w:trHeight w:val="280"/>
        </w:trPr>
        <w:tc>
          <w:tcPr>
            <w:tcW w:w="378" w:type="pct"/>
            <w:shd w:val="clear" w:color="auto" w:fill="auto"/>
            <w:noWrap/>
            <w:vAlign w:val="center"/>
            <w:hideMark/>
          </w:tcPr>
          <w:p w14:paraId="410AE847" w14:textId="77777777" w:rsidR="00D33AFC" w:rsidRPr="00703514" w:rsidRDefault="00D33AFC" w:rsidP="00305331">
            <w:pPr>
              <w:rPr>
                <w:sz w:val="24"/>
                <w:szCs w:val="24"/>
              </w:rPr>
            </w:pPr>
            <w:r w:rsidRPr="00703514">
              <w:rPr>
                <w:rFonts w:hint="eastAsia"/>
                <w:sz w:val="24"/>
                <w:szCs w:val="24"/>
              </w:rPr>
              <w:t>序号</w:t>
            </w:r>
          </w:p>
        </w:tc>
        <w:tc>
          <w:tcPr>
            <w:tcW w:w="408" w:type="pct"/>
            <w:shd w:val="clear" w:color="auto" w:fill="auto"/>
            <w:vAlign w:val="center"/>
            <w:hideMark/>
          </w:tcPr>
          <w:p w14:paraId="5A7DB05A" w14:textId="77777777" w:rsidR="00D33AFC" w:rsidRPr="00703514" w:rsidRDefault="00D33AFC" w:rsidP="00305331">
            <w:pPr>
              <w:rPr>
                <w:sz w:val="24"/>
                <w:szCs w:val="24"/>
              </w:rPr>
            </w:pPr>
            <w:r w:rsidRPr="00703514">
              <w:rPr>
                <w:rFonts w:hint="eastAsia"/>
                <w:sz w:val="24"/>
                <w:szCs w:val="24"/>
              </w:rPr>
              <w:t>货物名称</w:t>
            </w:r>
          </w:p>
        </w:tc>
        <w:tc>
          <w:tcPr>
            <w:tcW w:w="3368" w:type="pct"/>
            <w:shd w:val="clear" w:color="auto" w:fill="auto"/>
            <w:noWrap/>
            <w:vAlign w:val="center"/>
            <w:hideMark/>
          </w:tcPr>
          <w:p w14:paraId="22E34E41" w14:textId="77777777" w:rsidR="00D33AFC" w:rsidRPr="00703514" w:rsidRDefault="00D33AFC" w:rsidP="00305331">
            <w:pPr>
              <w:rPr>
                <w:sz w:val="24"/>
                <w:szCs w:val="24"/>
              </w:rPr>
            </w:pPr>
            <w:r w:rsidRPr="00703514">
              <w:rPr>
                <w:rFonts w:hint="eastAsia"/>
                <w:sz w:val="24"/>
                <w:szCs w:val="24"/>
              </w:rPr>
              <w:t>性能描述</w:t>
            </w:r>
          </w:p>
        </w:tc>
        <w:tc>
          <w:tcPr>
            <w:tcW w:w="384" w:type="pct"/>
            <w:shd w:val="clear" w:color="auto" w:fill="auto"/>
            <w:noWrap/>
            <w:vAlign w:val="center"/>
            <w:hideMark/>
          </w:tcPr>
          <w:p w14:paraId="053DDA20" w14:textId="77777777" w:rsidR="00D33AFC" w:rsidRPr="00703514" w:rsidRDefault="00D33AFC" w:rsidP="00305331">
            <w:pPr>
              <w:rPr>
                <w:sz w:val="24"/>
                <w:szCs w:val="24"/>
              </w:rPr>
            </w:pPr>
            <w:r w:rsidRPr="00703514">
              <w:rPr>
                <w:rFonts w:hint="eastAsia"/>
                <w:sz w:val="24"/>
                <w:szCs w:val="24"/>
              </w:rPr>
              <w:t>单位</w:t>
            </w:r>
          </w:p>
        </w:tc>
        <w:tc>
          <w:tcPr>
            <w:tcW w:w="462" w:type="pct"/>
            <w:shd w:val="clear" w:color="auto" w:fill="auto"/>
            <w:noWrap/>
            <w:vAlign w:val="center"/>
            <w:hideMark/>
          </w:tcPr>
          <w:p w14:paraId="30E5AE2E" w14:textId="77777777" w:rsidR="00D33AFC" w:rsidRPr="00703514" w:rsidRDefault="00D33AFC" w:rsidP="00E25AC2">
            <w:pPr>
              <w:jc w:val="center"/>
              <w:rPr>
                <w:sz w:val="24"/>
                <w:szCs w:val="24"/>
              </w:rPr>
            </w:pPr>
            <w:r w:rsidRPr="00703514">
              <w:rPr>
                <w:rFonts w:hint="eastAsia"/>
                <w:sz w:val="24"/>
                <w:szCs w:val="24"/>
              </w:rPr>
              <w:t>数量</w:t>
            </w:r>
          </w:p>
        </w:tc>
      </w:tr>
      <w:tr w:rsidR="00D33AFC" w:rsidRPr="00703514" w14:paraId="6FD9E50E" w14:textId="77777777" w:rsidTr="003963FF">
        <w:trPr>
          <w:trHeight w:val="700"/>
        </w:trPr>
        <w:tc>
          <w:tcPr>
            <w:tcW w:w="378" w:type="pct"/>
            <w:shd w:val="clear" w:color="auto" w:fill="auto"/>
            <w:noWrap/>
            <w:vAlign w:val="center"/>
            <w:hideMark/>
          </w:tcPr>
          <w:p w14:paraId="2598AA8E" w14:textId="77777777" w:rsidR="00D33AFC" w:rsidRPr="00703514" w:rsidRDefault="00D33AFC" w:rsidP="00305331">
            <w:pPr>
              <w:rPr>
                <w:sz w:val="24"/>
                <w:szCs w:val="24"/>
              </w:rPr>
            </w:pPr>
            <w:r w:rsidRPr="00703514">
              <w:rPr>
                <w:rFonts w:hint="eastAsia"/>
                <w:sz w:val="24"/>
                <w:szCs w:val="24"/>
              </w:rPr>
              <w:t>1</w:t>
            </w:r>
          </w:p>
        </w:tc>
        <w:tc>
          <w:tcPr>
            <w:tcW w:w="408" w:type="pct"/>
            <w:shd w:val="clear" w:color="auto" w:fill="auto"/>
            <w:vAlign w:val="center"/>
            <w:hideMark/>
          </w:tcPr>
          <w:p w14:paraId="6CD3C959" w14:textId="682F575D" w:rsidR="00D33AFC" w:rsidRPr="00703514" w:rsidRDefault="00CC6DFE" w:rsidP="00305331">
            <w:pPr>
              <w:rPr>
                <w:sz w:val="24"/>
                <w:szCs w:val="24"/>
              </w:rPr>
            </w:pPr>
            <w:r>
              <w:rPr>
                <w:rFonts w:hint="eastAsia"/>
                <w:sz w:val="24"/>
                <w:szCs w:val="24"/>
              </w:rPr>
              <w:t>服务器固态硬盘</w:t>
            </w:r>
          </w:p>
        </w:tc>
        <w:tc>
          <w:tcPr>
            <w:tcW w:w="3368" w:type="pct"/>
            <w:shd w:val="clear" w:color="auto" w:fill="auto"/>
            <w:vAlign w:val="center"/>
            <w:hideMark/>
          </w:tcPr>
          <w:p w14:paraId="13E04B47" w14:textId="760DDA8B" w:rsidR="00D33AFC" w:rsidRPr="00703514" w:rsidRDefault="00CC6DFE" w:rsidP="00305331">
            <w:pPr>
              <w:rPr>
                <w:sz w:val="24"/>
                <w:szCs w:val="24"/>
              </w:rPr>
            </w:pPr>
            <w:r w:rsidRPr="00CC6DFE">
              <w:rPr>
                <w:rFonts w:hint="eastAsia"/>
                <w:sz w:val="24"/>
                <w:szCs w:val="24"/>
              </w:rPr>
              <w:t>戴尔服务器主机专用固态硬盘</w:t>
            </w:r>
            <w:r w:rsidRPr="00CC6DFE">
              <w:rPr>
                <w:sz w:val="24"/>
                <w:szCs w:val="24"/>
              </w:rPr>
              <w:t>960G SSD 2.5英寸 SATA，带硬盘支架,</w:t>
            </w:r>
            <w:r>
              <w:rPr>
                <w:rFonts w:hint="eastAsia"/>
                <w:sz w:val="24"/>
                <w:szCs w:val="24"/>
              </w:rPr>
              <w:t>适配R</w:t>
            </w:r>
            <w:r>
              <w:rPr>
                <w:sz w:val="24"/>
                <w:szCs w:val="24"/>
              </w:rPr>
              <w:t>930</w:t>
            </w:r>
            <w:r>
              <w:rPr>
                <w:rFonts w:hint="eastAsia"/>
                <w:sz w:val="24"/>
                <w:szCs w:val="24"/>
              </w:rPr>
              <w:t>服务器，</w:t>
            </w:r>
            <w:r w:rsidRPr="00CC6DFE">
              <w:rPr>
                <w:sz w:val="24"/>
                <w:szCs w:val="24"/>
              </w:rPr>
              <w:t>必须在</w:t>
            </w:r>
            <w:proofErr w:type="spellStart"/>
            <w:r w:rsidRPr="00CC6DFE">
              <w:rPr>
                <w:sz w:val="24"/>
                <w:szCs w:val="24"/>
              </w:rPr>
              <w:t>Vmware</w:t>
            </w:r>
            <w:proofErr w:type="spellEnd"/>
            <w:r w:rsidRPr="00CC6DFE">
              <w:rPr>
                <w:sz w:val="24"/>
                <w:szCs w:val="24"/>
              </w:rPr>
              <w:t xml:space="preserve"> </w:t>
            </w:r>
            <w:proofErr w:type="spellStart"/>
            <w:r w:rsidRPr="00CC6DFE">
              <w:rPr>
                <w:sz w:val="24"/>
                <w:szCs w:val="24"/>
              </w:rPr>
              <w:t>vsan</w:t>
            </w:r>
            <w:proofErr w:type="spellEnd"/>
            <w:r w:rsidRPr="00CC6DFE">
              <w:rPr>
                <w:sz w:val="24"/>
                <w:szCs w:val="24"/>
              </w:rPr>
              <w:t xml:space="preserve"> 兼容性列表</w:t>
            </w:r>
            <w:r>
              <w:rPr>
                <w:rFonts w:hint="eastAsia"/>
                <w:sz w:val="24"/>
                <w:szCs w:val="24"/>
              </w:rPr>
              <w:t>。</w:t>
            </w:r>
          </w:p>
        </w:tc>
        <w:tc>
          <w:tcPr>
            <w:tcW w:w="384" w:type="pct"/>
            <w:shd w:val="clear" w:color="auto" w:fill="auto"/>
            <w:noWrap/>
            <w:vAlign w:val="center"/>
            <w:hideMark/>
          </w:tcPr>
          <w:p w14:paraId="1EB4A4A8" w14:textId="77777777" w:rsidR="00D33AFC" w:rsidRPr="00703514" w:rsidRDefault="00D33AFC" w:rsidP="00305331">
            <w:pPr>
              <w:rPr>
                <w:sz w:val="24"/>
                <w:szCs w:val="24"/>
              </w:rPr>
            </w:pPr>
            <w:r w:rsidRPr="00703514">
              <w:rPr>
                <w:rFonts w:hint="eastAsia"/>
                <w:sz w:val="24"/>
                <w:szCs w:val="24"/>
              </w:rPr>
              <w:t>块</w:t>
            </w:r>
          </w:p>
        </w:tc>
        <w:tc>
          <w:tcPr>
            <w:tcW w:w="462" w:type="pct"/>
            <w:shd w:val="clear" w:color="auto" w:fill="auto"/>
            <w:noWrap/>
            <w:vAlign w:val="center"/>
            <w:hideMark/>
          </w:tcPr>
          <w:p w14:paraId="131D8DE9" w14:textId="75484584" w:rsidR="00D33AFC" w:rsidRPr="00703514" w:rsidRDefault="00CC6DFE" w:rsidP="00E25AC2">
            <w:pPr>
              <w:jc w:val="center"/>
              <w:rPr>
                <w:sz w:val="24"/>
                <w:szCs w:val="24"/>
              </w:rPr>
            </w:pPr>
            <w:r>
              <w:rPr>
                <w:sz w:val="24"/>
                <w:szCs w:val="24"/>
              </w:rPr>
              <w:t>1</w:t>
            </w:r>
            <w:r w:rsidR="00D33AFC" w:rsidRPr="00703514">
              <w:rPr>
                <w:rFonts w:hint="eastAsia"/>
                <w:sz w:val="24"/>
                <w:szCs w:val="24"/>
              </w:rPr>
              <w:t>5</w:t>
            </w:r>
          </w:p>
        </w:tc>
      </w:tr>
      <w:tr w:rsidR="00D33AFC" w:rsidRPr="00703514" w14:paraId="3F72727A" w14:textId="77777777" w:rsidTr="003963FF">
        <w:trPr>
          <w:trHeight w:val="820"/>
        </w:trPr>
        <w:tc>
          <w:tcPr>
            <w:tcW w:w="378" w:type="pct"/>
            <w:shd w:val="clear" w:color="auto" w:fill="auto"/>
            <w:noWrap/>
            <w:vAlign w:val="center"/>
            <w:hideMark/>
          </w:tcPr>
          <w:p w14:paraId="153539E2" w14:textId="77777777" w:rsidR="00D33AFC" w:rsidRPr="00703514" w:rsidRDefault="00D33AFC" w:rsidP="00305331">
            <w:pPr>
              <w:rPr>
                <w:sz w:val="24"/>
                <w:szCs w:val="24"/>
              </w:rPr>
            </w:pPr>
            <w:r w:rsidRPr="00703514">
              <w:rPr>
                <w:rFonts w:hint="eastAsia"/>
                <w:sz w:val="24"/>
                <w:szCs w:val="24"/>
              </w:rPr>
              <w:t>2</w:t>
            </w:r>
          </w:p>
        </w:tc>
        <w:tc>
          <w:tcPr>
            <w:tcW w:w="408" w:type="pct"/>
            <w:shd w:val="clear" w:color="auto" w:fill="auto"/>
            <w:vAlign w:val="center"/>
            <w:hideMark/>
          </w:tcPr>
          <w:p w14:paraId="35FA46E1" w14:textId="3BE3473E" w:rsidR="00D33AFC" w:rsidRPr="00703514" w:rsidRDefault="00CC6DFE" w:rsidP="00305331">
            <w:pPr>
              <w:rPr>
                <w:sz w:val="24"/>
                <w:szCs w:val="24"/>
              </w:rPr>
            </w:pPr>
            <w:r>
              <w:rPr>
                <w:rFonts w:hint="eastAsia"/>
                <w:sz w:val="24"/>
                <w:szCs w:val="24"/>
              </w:rPr>
              <w:t>服务器机械硬盘</w:t>
            </w:r>
          </w:p>
        </w:tc>
        <w:tc>
          <w:tcPr>
            <w:tcW w:w="3368" w:type="pct"/>
            <w:shd w:val="clear" w:color="auto" w:fill="auto"/>
            <w:vAlign w:val="center"/>
            <w:hideMark/>
          </w:tcPr>
          <w:p w14:paraId="501507A5" w14:textId="269C4FCF" w:rsidR="00D33AFC" w:rsidRPr="00703514" w:rsidRDefault="00CC6DFE" w:rsidP="00305331">
            <w:pPr>
              <w:rPr>
                <w:sz w:val="24"/>
                <w:szCs w:val="24"/>
              </w:rPr>
            </w:pPr>
            <w:r w:rsidRPr="00CC6DFE">
              <w:rPr>
                <w:rFonts w:hint="eastAsia"/>
                <w:sz w:val="24"/>
                <w:szCs w:val="24"/>
              </w:rPr>
              <w:t>戴尔服务器企业级硬盘</w:t>
            </w:r>
            <w:r w:rsidRPr="00CC6DFE">
              <w:rPr>
                <w:sz w:val="24"/>
                <w:szCs w:val="24"/>
              </w:rPr>
              <w:t xml:space="preserve"> 2.4T SAS 10K 2.5英寸，带硬盘支架,</w:t>
            </w:r>
            <w:r>
              <w:rPr>
                <w:rFonts w:hint="eastAsia"/>
                <w:sz w:val="24"/>
                <w:szCs w:val="24"/>
              </w:rPr>
              <w:t>适配R</w:t>
            </w:r>
            <w:r>
              <w:rPr>
                <w:sz w:val="24"/>
                <w:szCs w:val="24"/>
              </w:rPr>
              <w:t xml:space="preserve">930 </w:t>
            </w:r>
            <w:r>
              <w:rPr>
                <w:rFonts w:hint="eastAsia"/>
                <w:sz w:val="24"/>
                <w:szCs w:val="24"/>
              </w:rPr>
              <w:t>服务器，</w:t>
            </w:r>
            <w:r w:rsidRPr="00CC6DFE">
              <w:rPr>
                <w:sz w:val="24"/>
                <w:szCs w:val="24"/>
              </w:rPr>
              <w:t>必须在</w:t>
            </w:r>
            <w:proofErr w:type="spellStart"/>
            <w:r w:rsidRPr="00CC6DFE">
              <w:rPr>
                <w:sz w:val="24"/>
                <w:szCs w:val="24"/>
              </w:rPr>
              <w:t>Vmware</w:t>
            </w:r>
            <w:proofErr w:type="spellEnd"/>
            <w:r w:rsidRPr="00CC6DFE">
              <w:rPr>
                <w:sz w:val="24"/>
                <w:szCs w:val="24"/>
              </w:rPr>
              <w:t xml:space="preserve"> </w:t>
            </w:r>
            <w:proofErr w:type="spellStart"/>
            <w:r w:rsidRPr="00CC6DFE">
              <w:rPr>
                <w:sz w:val="24"/>
                <w:szCs w:val="24"/>
              </w:rPr>
              <w:t>vsan</w:t>
            </w:r>
            <w:proofErr w:type="spellEnd"/>
            <w:r w:rsidRPr="00CC6DFE">
              <w:rPr>
                <w:sz w:val="24"/>
                <w:szCs w:val="24"/>
              </w:rPr>
              <w:t xml:space="preserve"> 兼容性列表</w:t>
            </w:r>
          </w:p>
        </w:tc>
        <w:tc>
          <w:tcPr>
            <w:tcW w:w="384" w:type="pct"/>
            <w:shd w:val="clear" w:color="auto" w:fill="auto"/>
            <w:noWrap/>
            <w:vAlign w:val="center"/>
            <w:hideMark/>
          </w:tcPr>
          <w:p w14:paraId="51D32D77" w14:textId="73F3E279" w:rsidR="00D33AFC" w:rsidRPr="00703514" w:rsidRDefault="00CC6DFE" w:rsidP="00305331">
            <w:pPr>
              <w:rPr>
                <w:sz w:val="24"/>
                <w:szCs w:val="24"/>
              </w:rPr>
            </w:pPr>
            <w:r>
              <w:rPr>
                <w:rFonts w:hint="eastAsia"/>
                <w:sz w:val="24"/>
                <w:szCs w:val="24"/>
              </w:rPr>
              <w:t>块</w:t>
            </w:r>
          </w:p>
        </w:tc>
        <w:tc>
          <w:tcPr>
            <w:tcW w:w="462" w:type="pct"/>
            <w:shd w:val="clear" w:color="auto" w:fill="auto"/>
            <w:noWrap/>
            <w:vAlign w:val="center"/>
            <w:hideMark/>
          </w:tcPr>
          <w:p w14:paraId="2D8416FB" w14:textId="18D317E4" w:rsidR="00D33AFC" w:rsidRPr="00703514" w:rsidRDefault="00CC6DFE" w:rsidP="00E25AC2">
            <w:pPr>
              <w:jc w:val="center"/>
              <w:rPr>
                <w:sz w:val="24"/>
                <w:szCs w:val="24"/>
              </w:rPr>
            </w:pPr>
            <w:r>
              <w:rPr>
                <w:sz w:val="24"/>
                <w:szCs w:val="24"/>
              </w:rPr>
              <w:t>45</w:t>
            </w:r>
          </w:p>
        </w:tc>
      </w:tr>
      <w:tr w:rsidR="00D33AFC" w:rsidRPr="00703514" w14:paraId="67F449EA" w14:textId="77777777" w:rsidTr="00BD23B1">
        <w:trPr>
          <w:trHeight w:val="700"/>
        </w:trPr>
        <w:tc>
          <w:tcPr>
            <w:tcW w:w="378" w:type="pct"/>
            <w:shd w:val="clear" w:color="auto" w:fill="auto"/>
            <w:noWrap/>
            <w:vAlign w:val="center"/>
            <w:hideMark/>
          </w:tcPr>
          <w:p w14:paraId="249E7D40" w14:textId="4BB9FF3F" w:rsidR="00D33AFC" w:rsidRPr="00703514" w:rsidRDefault="00FE70B2" w:rsidP="00305331">
            <w:pPr>
              <w:rPr>
                <w:sz w:val="24"/>
                <w:szCs w:val="24"/>
              </w:rPr>
            </w:pPr>
            <w:r>
              <w:rPr>
                <w:rFonts w:hint="eastAsia"/>
                <w:sz w:val="24"/>
                <w:szCs w:val="24"/>
              </w:rPr>
              <w:lastRenderedPageBreak/>
              <w:t>3</w:t>
            </w:r>
          </w:p>
        </w:tc>
        <w:tc>
          <w:tcPr>
            <w:tcW w:w="408" w:type="pct"/>
            <w:shd w:val="clear" w:color="auto" w:fill="auto"/>
            <w:vAlign w:val="center"/>
          </w:tcPr>
          <w:p w14:paraId="6F37CC4D" w14:textId="0D3EC94E" w:rsidR="00D33AFC" w:rsidRPr="00703514" w:rsidRDefault="00B02E49" w:rsidP="00305331">
            <w:pPr>
              <w:rPr>
                <w:sz w:val="24"/>
                <w:szCs w:val="24"/>
              </w:rPr>
            </w:pPr>
            <w:bookmarkStart w:id="1" w:name="_Hlk77071471"/>
            <w:r>
              <w:rPr>
                <w:rFonts w:hint="eastAsia"/>
                <w:sz w:val="24"/>
                <w:szCs w:val="24"/>
              </w:rPr>
              <w:t>虚拟化平台运维</w:t>
            </w:r>
            <w:r w:rsidR="008F2546">
              <w:rPr>
                <w:rFonts w:hint="eastAsia"/>
                <w:sz w:val="24"/>
                <w:szCs w:val="24"/>
              </w:rPr>
              <w:t>服务</w:t>
            </w:r>
            <w:bookmarkEnd w:id="1"/>
          </w:p>
        </w:tc>
        <w:tc>
          <w:tcPr>
            <w:tcW w:w="3368" w:type="pct"/>
            <w:shd w:val="clear" w:color="auto" w:fill="auto"/>
            <w:vAlign w:val="center"/>
          </w:tcPr>
          <w:p w14:paraId="6B18808E" w14:textId="77777777" w:rsidR="00B02E49" w:rsidRPr="00B02E49" w:rsidRDefault="00B02E49" w:rsidP="00B02E49">
            <w:pPr>
              <w:rPr>
                <w:sz w:val="24"/>
                <w:szCs w:val="24"/>
              </w:rPr>
            </w:pPr>
            <w:r w:rsidRPr="00B02E49">
              <w:rPr>
                <w:rFonts w:hint="eastAsia"/>
                <w:sz w:val="24"/>
                <w:szCs w:val="24"/>
              </w:rPr>
              <w:t>通过专业的运维服务和管理，为我校</w:t>
            </w:r>
            <w:r w:rsidRPr="00B02E49">
              <w:rPr>
                <w:sz w:val="24"/>
                <w:szCs w:val="24"/>
              </w:rPr>
              <w:t>VMware系统的安全稳定运行提供有力保障，及时有效解决系统在日常工作中出现的各类故障，确保系统的正常运作。针对运维服务产生的数据记录进行统计和分析。总体要求如下：</w:t>
            </w:r>
          </w:p>
          <w:p w14:paraId="2608BA01" w14:textId="77777777" w:rsidR="00B02E49" w:rsidRPr="00B02E49" w:rsidRDefault="00B02E49" w:rsidP="00B02E49">
            <w:pPr>
              <w:rPr>
                <w:sz w:val="24"/>
                <w:szCs w:val="24"/>
              </w:rPr>
            </w:pPr>
            <w:r w:rsidRPr="00B02E49">
              <w:rPr>
                <w:sz w:val="24"/>
                <w:szCs w:val="24"/>
              </w:rPr>
              <w:t>(一)</w:t>
            </w:r>
            <w:r w:rsidRPr="00B02E49">
              <w:rPr>
                <w:sz w:val="24"/>
                <w:szCs w:val="24"/>
              </w:rPr>
              <w:tab/>
              <w:t>服务范围</w:t>
            </w:r>
          </w:p>
          <w:p w14:paraId="37D479ED" w14:textId="77777777" w:rsidR="00B02E49" w:rsidRPr="00B02E49" w:rsidRDefault="00B02E49" w:rsidP="00B02E49">
            <w:pPr>
              <w:rPr>
                <w:sz w:val="24"/>
                <w:szCs w:val="24"/>
              </w:rPr>
            </w:pPr>
            <w:r w:rsidRPr="00B02E49">
              <w:rPr>
                <w:rFonts w:hint="eastAsia"/>
                <w:sz w:val="24"/>
                <w:szCs w:val="24"/>
              </w:rPr>
              <w:t>我校数据中心</w:t>
            </w:r>
            <w:r w:rsidRPr="00B02E49">
              <w:rPr>
                <w:sz w:val="24"/>
                <w:szCs w:val="24"/>
              </w:rPr>
              <w:t>VMware虚拟化系统一套；</w:t>
            </w:r>
          </w:p>
          <w:p w14:paraId="6D565076" w14:textId="77777777" w:rsidR="00B02E49" w:rsidRPr="00B02E49" w:rsidRDefault="00B02E49" w:rsidP="00B02E49">
            <w:pPr>
              <w:rPr>
                <w:sz w:val="24"/>
                <w:szCs w:val="24"/>
              </w:rPr>
            </w:pPr>
            <w:r w:rsidRPr="00B02E49">
              <w:rPr>
                <w:sz w:val="24"/>
                <w:szCs w:val="24"/>
              </w:rPr>
              <w:t>(二)</w:t>
            </w:r>
            <w:r w:rsidRPr="00B02E49">
              <w:rPr>
                <w:sz w:val="24"/>
                <w:szCs w:val="24"/>
              </w:rPr>
              <w:tab/>
              <w:t>服务内容：</w:t>
            </w:r>
          </w:p>
          <w:p w14:paraId="2359B721" w14:textId="77777777" w:rsidR="00B02E49" w:rsidRPr="00B02E49" w:rsidRDefault="00B02E49" w:rsidP="00B02E49">
            <w:pPr>
              <w:rPr>
                <w:sz w:val="24"/>
                <w:szCs w:val="24"/>
              </w:rPr>
            </w:pPr>
            <w:r w:rsidRPr="00B02E49">
              <w:rPr>
                <w:sz w:val="24"/>
                <w:szCs w:val="24"/>
              </w:rPr>
              <w:t>1）现场技术服务：</w:t>
            </w:r>
          </w:p>
          <w:p w14:paraId="43D334FF" w14:textId="77777777" w:rsidR="00B02E49" w:rsidRPr="00B02E49" w:rsidRDefault="00B02E49" w:rsidP="00B02E49">
            <w:pPr>
              <w:rPr>
                <w:sz w:val="24"/>
                <w:szCs w:val="24"/>
              </w:rPr>
            </w:pPr>
            <w:r w:rsidRPr="00B02E49">
              <w:rPr>
                <w:sz w:val="24"/>
                <w:szCs w:val="24"/>
              </w:rPr>
              <w:t>1、对VMWARE虚拟化平台提供一年7x24小时维保服务。</w:t>
            </w:r>
          </w:p>
          <w:p w14:paraId="18A4E378" w14:textId="77777777" w:rsidR="00B02E49" w:rsidRPr="00B02E49" w:rsidRDefault="00B02E49" w:rsidP="00B02E49">
            <w:pPr>
              <w:rPr>
                <w:sz w:val="24"/>
                <w:szCs w:val="24"/>
              </w:rPr>
            </w:pPr>
            <w:r w:rsidRPr="00B02E49">
              <w:rPr>
                <w:sz w:val="24"/>
                <w:szCs w:val="24"/>
              </w:rPr>
              <w:t>2、当出现重大系统事故或远程技术服务无法解决的系统问题时，成交供应商负责安排资深技术人员到采购人现场进行诊断和排除故障，并出具最终的故障报告。</w:t>
            </w:r>
          </w:p>
          <w:p w14:paraId="08B73B5A" w14:textId="77777777" w:rsidR="00B02E49" w:rsidRPr="00B02E49" w:rsidRDefault="00B02E49" w:rsidP="00B02E49">
            <w:pPr>
              <w:rPr>
                <w:sz w:val="24"/>
                <w:szCs w:val="24"/>
              </w:rPr>
            </w:pPr>
            <w:r w:rsidRPr="00B02E49">
              <w:rPr>
                <w:sz w:val="24"/>
                <w:szCs w:val="24"/>
              </w:rPr>
              <w:t>2）定期巡检服务</w:t>
            </w:r>
          </w:p>
          <w:p w14:paraId="786CAD7B" w14:textId="7A1466F8" w:rsidR="00B02E49" w:rsidRPr="00B02E49" w:rsidRDefault="009E74F3" w:rsidP="00B02E49">
            <w:pPr>
              <w:rPr>
                <w:sz w:val="24"/>
                <w:szCs w:val="24"/>
              </w:rPr>
            </w:pPr>
            <w:r w:rsidRPr="00B02E49">
              <w:rPr>
                <w:sz w:val="24"/>
                <w:szCs w:val="24"/>
              </w:rPr>
              <w:t>定期</w:t>
            </w:r>
            <w:r w:rsidR="00B02E49" w:rsidRPr="00B02E49">
              <w:rPr>
                <w:rFonts w:hint="eastAsia"/>
                <w:sz w:val="24"/>
                <w:szCs w:val="24"/>
              </w:rPr>
              <w:t>对</w:t>
            </w:r>
            <w:r w:rsidR="00B02E49" w:rsidRPr="00B02E49">
              <w:rPr>
                <w:sz w:val="24"/>
                <w:szCs w:val="24"/>
              </w:rPr>
              <w:t>VMware系统进行巡检。包括所有主机的CPU.内存，磁盘，共享存储试用情况统计以及分析平台告警和错误信息</w:t>
            </w:r>
            <w:r w:rsidR="000D2ECA">
              <w:rPr>
                <w:rFonts w:hint="eastAsia"/>
                <w:sz w:val="24"/>
                <w:szCs w:val="24"/>
              </w:rPr>
              <w:t>，并发现的问题及</w:t>
            </w:r>
            <w:r w:rsidR="00B02E49" w:rsidRPr="00B02E49">
              <w:rPr>
                <w:sz w:val="24"/>
                <w:szCs w:val="24"/>
              </w:rPr>
              <w:t>故障处置等。</w:t>
            </w:r>
          </w:p>
          <w:p w14:paraId="7C4833F4" w14:textId="77777777" w:rsidR="00B02E49" w:rsidRPr="00B02E49" w:rsidRDefault="00B02E49" w:rsidP="00B02E49">
            <w:pPr>
              <w:rPr>
                <w:sz w:val="24"/>
                <w:szCs w:val="24"/>
              </w:rPr>
            </w:pPr>
            <w:r w:rsidRPr="00B02E49">
              <w:rPr>
                <w:sz w:val="24"/>
                <w:szCs w:val="24"/>
              </w:rPr>
              <w:t>3）咨询服务</w:t>
            </w:r>
          </w:p>
          <w:p w14:paraId="78FE039C" w14:textId="77777777" w:rsidR="00B02E49" w:rsidRPr="00B02E49" w:rsidRDefault="00B02E49" w:rsidP="00B02E49">
            <w:pPr>
              <w:rPr>
                <w:sz w:val="24"/>
                <w:szCs w:val="24"/>
              </w:rPr>
            </w:pPr>
            <w:r w:rsidRPr="00B02E49">
              <w:rPr>
                <w:sz w:val="24"/>
                <w:szCs w:val="24"/>
              </w:rPr>
              <w:t>1、根据日常运维情况主动预防、预警、预测，及时发现系统存在的主要问题和薄弱环节。要建立专家支持服务，根据技术发展趋势及市场环境，对系统提交优化建议。</w:t>
            </w:r>
          </w:p>
          <w:p w14:paraId="43DD6E22" w14:textId="77777777" w:rsidR="00B02E49" w:rsidRPr="00B02E49" w:rsidRDefault="00B02E49" w:rsidP="00B02E49">
            <w:pPr>
              <w:rPr>
                <w:sz w:val="24"/>
                <w:szCs w:val="24"/>
              </w:rPr>
            </w:pPr>
            <w:r w:rsidRPr="00B02E49">
              <w:rPr>
                <w:sz w:val="24"/>
                <w:szCs w:val="24"/>
              </w:rPr>
              <w:t>2、按需提供技术咨询，解答采购人在后续使用中的规划和设计问题。</w:t>
            </w:r>
          </w:p>
          <w:p w14:paraId="20D6EEF0" w14:textId="77777777" w:rsidR="00B02E49" w:rsidRPr="00B02E49" w:rsidRDefault="00B02E49" w:rsidP="00B02E49">
            <w:pPr>
              <w:rPr>
                <w:sz w:val="24"/>
                <w:szCs w:val="24"/>
              </w:rPr>
            </w:pPr>
            <w:r w:rsidRPr="00B02E49">
              <w:rPr>
                <w:sz w:val="24"/>
                <w:szCs w:val="24"/>
              </w:rPr>
              <w:t>3、提供现场知识传授、专题讨论会或技术培训。</w:t>
            </w:r>
          </w:p>
          <w:p w14:paraId="709925D5" w14:textId="77777777" w:rsidR="00B02E49" w:rsidRPr="00B02E49" w:rsidRDefault="00B02E49" w:rsidP="00B02E49">
            <w:pPr>
              <w:rPr>
                <w:sz w:val="24"/>
                <w:szCs w:val="24"/>
              </w:rPr>
            </w:pPr>
            <w:r w:rsidRPr="00B02E49">
              <w:rPr>
                <w:sz w:val="24"/>
                <w:szCs w:val="24"/>
              </w:rPr>
              <w:t>4）文档服务</w:t>
            </w:r>
          </w:p>
          <w:p w14:paraId="4C3EA833" w14:textId="3E4D4282" w:rsidR="00D33AFC" w:rsidRPr="00703514" w:rsidRDefault="00B02E49" w:rsidP="00B02E49">
            <w:pPr>
              <w:rPr>
                <w:sz w:val="24"/>
                <w:szCs w:val="24"/>
              </w:rPr>
            </w:pPr>
            <w:r w:rsidRPr="00B02E49">
              <w:rPr>
                <w:rFonts w:hint="eastAsia"/>
                <w:sz w:val="24"/>
                <w:szCs w:val="24"/>
              </w:rPr>
              <w:t>按照</w:t>
            </w:r>
            <w:r w:rsidRPr="00B02E49">
              <w:rPr>
                <w:sz w:val="24"/>
                <w:szCs w:val="24"/>
              </w:rPr>
              <w:t>ITIL管理模式对服务范围进行运维管理，建立一套运行维护管理服务体系，对维护工作实行全程监控和记录并制作成文档，技术资料和帮助文件等文档资料，所有资料属于工作秘密归校方所有。</w:t>
            </w:r>
          </w:p>
        </w:tc>
        <w:tc>
          <w:tcPr>
            <w:tcW w:w="384" w:type="pct"/>
            <w:shd w:val="clear" w:color="auto" w:fill="auto"/>
            <w:noWrap/>
            <w:vAlign w:val="center"/>
          </w:tcPr>
          <w:p w14:paraId="1AC7907C" w14:textId="22DD775F" w:rsidR="00D33AFC" w:rsidRPr="00703514" w:rsidRDefault="0034799D" w:rsidP="00305331">
            <w:pPr>
              <w:rPr>
                <w:sz w:val="24"/>
                <w:szCs w:val="24"/>
              </w:rPr>
            </w:pPr>
            <w:r>
              <w:rPr>
                <w:rFonts w:hint="eastAsia"/>
                <w:sz w:val="24"/>
                <w:szCs w:val="24"/>
              </w:rPr>
              <w:t>年</w:t>
            </w:r>
          </w:p>
        </w:tc>
        <w:tc>
          <w:tcPr>
            <w:tcW w:w="462" w:type="pct"/>
            <w:shd w:val="clear" w:color="auto" w:fill="auto"/>
            <w:noWrap/>
            <w:vAlign w:val="center"/>
          </w:tcPr>
          <w:p w14:paraId="74FEA45C" w14:textId="408C0813" w:rsidR="00D33AFC" w:rsidRPr="00703514" w:rsidRDefault="00F9583C" w:rsidP="00E25AC2">
            <w:pPr>
              <w:jc w:val="center"/>
              <w:rPr>
                <w:sz w:val="24"/>
                <w:szCs w:val="24"/>
              </w:rPr>
            </w:pPr>
            <w:r>
              <w:rPr>
                <w:rFonts w:hint="eastAsia"/>
                <w:sz w:val="24"/>
                <w:szCs w:val="24"/>
              </w:rPr>
              <w:t>1</w:t>
            </w:r>
          </w:p>
        </w:tc>
      </w:tr>
      <w:tr w:rsidR="00D33AFC" w:rsidRPr="00703514" w14:paraId="1CC594E8" w14:textId="77777777" w:rsidTr="00BD23B1">
        <w:trPr>
          <w:trHeight w:val="700"/>
        </w:trPr>
        <w:tc>
          <w:tcPr>
            <w:tcW w:w="378" w:type="pct"/>
            <w:shd w:val="clear" w:color="auto" w:fill="auto"/>
            <w:noWrap/>
            <w:vAlign w:val="center"/>
            <w:hideMark/>
          </w:tcPr>
          <w:p w14:paraId="21C496D0" w14:textId="65B4143F" w:rsidR="00D33AFC" w:rsidRPr="00703514" w:rsidRDefault="00EF0E03" w:rsidP="00305331">
            <w:pPr>
              <w:rPr>
                <w:sz w:val="24"/>
                <w:szCs w:val="24"/>
              </w:rPr>
            </w:pPr>
            <w:r>
              <w:rPr>
                <w:rFonts w:hint="eastAsia"/>
                <w:sz w:val="24"/>
                <w:szCs w:val="24"/>
              </w:rPr>
              <w:t>4</w:t>
            </w:r>
          </w:p>
        </w:tc>
        <w:tc>
          <w:tcPr>
            <w:tcW w:w="408" w:type="pct"/>
            <w:shd w:val="clear" w:color="auto" w:fill="auto"/>
            <w:vAlign w:val="center"/>
          </w:tcPr>
          <w:p w14:paraId="0DDA6642" w14:textId="5855D171" w:rsidR="00D33AFC" w:rsidRPr="00703514" w:rsidRDefault="00B02E49" w:rsidP="00305331">
            <w:pPr>
              <w:rPr>
                <w:sz w:val="24"/>
                <w:szCs w:val="24"/>
              </w:rPr>
            </w:pPr>
            <w:r>
              <w:rPr>
                <w:rFonts w:hint="eastAsia"/>
                <w:sz w:val="24"/>
                <w:szCs w:val="24"/>
              </w:rPr>
              <w:t>虚拟化平台服务器原厂延保</w:t>
            </w:r>
          </w:p>
        </w:tc>
        <w:tc>
          <w:tcPr>
            <w:tcW w:w="3368" w:type="pct"/>
            <w:shd w:val="clear" w:color="auto" w:fill="auto"/>
            <w:vAlign w:val="center"/>
          </w:tcPr>
          <w:p w14:paraId="34A39B22" w14:textId="6AFD8FC2" w:rsidR="00E4327B" w:rsidRDefault="00D44C77" w:rsidP="00305331">
            <w:pPr>
              <w:rPr>
                <w:sz w:val="24"/>
                <w:szCs w:val="24"/>
              </w:rPr>
            </w:pPr>
            <w:r>
              <w:rPr>
                <w:rFonts w:hint="eastAsia"/>
                <w:sz w:val="24"/>
                <w:szCs w:val="24"/>
              </w:rPr>
              <w:t>一、</w:t>
            </w:r>
            <w:r w:rsidR="0051215B">
              <w:rPr>
                <w:rFonts w:hint="eastAsia"/>
                <w:sz w:val="24"/>
                <w:szCs w:val="24"/>
              </w:rPr>
              <w:t>★</w:t>
            </w:r>
            <w:r w:rsidR="00B02E49">
              <w:rPr>
                <w:rFonts w:hint="eastAsia"/>
                <w:sz w:val="24"/>
                <w:szCs w:val="24"/>
              </w:rPr>
              <w:t>针对我校现有的5台虚拟化平台服务器做延续</w:t>
            </w:r>
            <w:r w:rsidR="002430FB">
              <w:rPr>
                <w:rFonts w:hint="eastAsia"/>
                <w:sz w:val="24"/>
                <w:szCs w:val="24"/>
              </w:rPr>
              <w:t>两</w:t>
            </w:r>
            <w:r w:rsidR="00B02E49">
              <w:rPr>
                <w:rFonts w:hint="eastAsia"/>
                <w:sz w:val="24"/>
                <w:szCs w:val="24"/>
              </w:rPr>
              <w:t>年</w:t>
            </w:r>
            <w:r w:rsidR="0051215B">
              <w:rPr>
                <w:rFonts w:hint="eastAsia"/>
                <w:sz w:val="24"/>
                <w:szCs w:val="24"/>
              </w:rPr>
              <w:t>的原厂</w:t>
            </w:r>
            <w:r w:rsidR="00B02E49">
              <w:rPr>
                <w:rFonts w:hint="eastAsia"/>
                <w:sz w:val="24"/>
                <w:szCs w:val="24"/>
              </w:rPr>
              <w:t>维保</w:t>
            </w:r>
            <w:r>
              <w:rPr>
                <w:rFonts w:hint="eastAsia"/>
                <w:sz w:val="24"/>
                <w:szCs w:val="24"/>
              </w:rPr>
              <w:t>。</w:t>
            </w:r>
          </w:p>
          <w:p w14:paraId="7EBC8A58" w14:textId="5E06B7AC" w:rsidR="00AF532F" w:rsidRDefault="00D44C77" w:rsidP="00305331">
            <w:pPr>
              <w:rPr>
                <w:sz w:val="24"/>
                <w:szCs w:val="24"/>
              </w:rPr>
            </w:pPr>
            <w:r>
              <w:rPr>
                <w:rFonts w:hint="eastAsia"/>
                <w:sz w:val="24"/>
                <w:szCs w:val="24"/>
              </w:rPr>
              <w:t>二、详细</w:t>
            </w:r>
            <w:r w:rsidR="00E4327B">
              <w:rPr>
                <w:rFonts w:hint="eastAsia"/>
                <w:sz w:val="24"/>
                <w:szCs w:val="24"/>
              </w:rPr>
              <w:t>要求</w:t>
            </w:r>
            <w:r w:rsidR="0051215B">
              <w:rPr>
                <w:rFonts w:hint="eastAsia"/>
                <w:sz w:val="24"/>
                <w:szCs w:val="24"/>
              </w:rPr>
              <w:t>如下</w:t>
            </w:r>
            <w:r w:rsidR="00E4327B">
              <w:rPr>
                <w:rFonts w:hint="eastAsia"/>
                <w:sz w:val="24"/>
                <w:szCs w:val="24"/>
              </w:rPr>
              <w:t>：</w:t>
            </w:r>
          </w:p>
          <w:p w14:paraId="186F45AC" w14:textId="77777777" w:rsidR="00E4327B" w:rsidRPr="00E4327B" w:rsidRDefault="00E4327B" w:rsidP="00E4327B">
            <w:pPr>
              <w:rPr>
                <w:sz w:val="24"/>
                <w:szCs w:val="24"/>
              </w:rPr>
            </w:pPr>
            <w:r w:rsidRPr="00E4327B">
              <w:rPr>
                <w:sz w:val="24"/>
                <w:szCs w:val="24"/>
              </w:rPr>
              <w:t>A、保修年限以《原厂保修承诺》为准，产品自然故障免费维修，人为故障或保修外故障以成本价有偿维修。</w:t>
            </w:r>
          </w:p>
          <w:p w14:paraId="7FD09EBD" w14:textId="77777777" w:rsidR="00E4327B" w:rsidRPr="00E4327B" w:rsidRDefault="00E4327B" w:rsidP="00E4327B">
            <w:pPr>
              <w:rPr>
                <w:sz w:val="24"/>
                <w:szCs w:val="24"/>
              </w:rPr>
            </w:pPr>
            <w:r w:rsidRPr="00E4327B">
              <w:rPr>
                <w:sz w:val="24"/>
                <w:szCs w:val="24"/>
              </w:rPr>
              <w:t>B、现场上门维修，凡是保修范围内的故障或保修范围外的有偿维修均上门服务。</w:t>
            </w:r>
          </w:p>
          <w:p w14:paraId="0166AEE7" w14:textId="00BFBFB2" w:rsidR="00E4327B" w:rsidRPr="00E4327B" w:rsidRDefault="00E4327B" w:rsidP="00E4327B">
            <w:pPr>
              <w:rPr>
                <w:sz w:val="24"/>
                <w:szCs w:val="24"/>
              </w:rPr>
            </w:pPr>
            <w:r w:rsidRPr="00E4327B">
              <w:rPr>
                <w:sz w:val="24"/>
                <w:szCs w:val="24"/>
              </w:rPr>
              <w:t>C、故障维修响应:确认故障后，维修服务人员在接到设备现场维护人员的故障通知后，在</w:t>
            </w:r>
            <w:r w:rsidR="00160386">
              <w:rPr>
                <w:sz w:val="24"/>
                <w:szCs w:val="24"/>
              </w:rPr>
              <w:t>4</w:t>
            </w:r>
            <w:r w:rsidRPr="00E4327B">
              <w:rPr>
                <w:sz w:val="24"/>
                <w:szCs w:val="24"/>
              </w:rPr>
              <w:t>小时内到达现场。</w:t>
            </w:r>
          </w:p>
          <w:p w14:paraId="5B50794E" w14:textId="77777777" w:rsidR="00E4327B" w:rsidRPr="00E4327B" w:rsidRDefault="00E4327B" w:rsidP="00E4327B">
            <w:pPr>
              <w:rPr>
                <w:sz w:val="24"/>
                <w:szCs w:val="24"/>
              </w:rPr>
            </w:pPr>
            <w:r w:rsidRPr="00E4327B">
              <w:rPr>
                <w:sz w:val="24"/>
                <w:szCs w:val="24"/>
              </w:rPr>
              <w:t>D、一次免费巡检，在安装调试后6个月至12个月进行一次免费巡检，具体时间与客户商定。</w:t>
            </w:r>
          </w:p>
          <w:p w14:paraId="394A97AE" w14:textId="77777777" w:rsidR="00E4327B" w:rsidRPr="00E4327B" w:rsidRDefault="00E4327B" w:rsidP="00E4327B">
            <w:pPr>
              <w:rPr>
                <w:sz w:val="24"/>
                <w:szCs w:val="24"/>
              </w:rPr>
            </w:pPr>
            <w:r w:rsidRPr="00E4327B">
              <w:rPr>
                <w:sz w:val="24"/>
                <w:szCs w:val="24"/>
              </w:rPr>
              <w:t>E、7×24小时技术支持，7×24受理故障和技术问题，并立即给予答复和处理;一般咨询类问题5×8小时给予答复。</w:t>
            </w:r>
          </w:p>
          <w:p w14:paraId="0542DC48" w14:textId="7DA9B431" w:rsidR="00E4327B" w:rsidRPr="00E4327B" w:rsidRDefault="00E4327B" w:rsidP="00E4327B">
            <w:pPr>
              <w:rPr>
                <w:sz w:val="24"/>
                <w:szCs w:val="24"/>
              </w:rPr>
            </w:pPr>
            <w:r w:rsidRPr="00E4327B">
              <w:rPr>
                <w:sz w:val="24"/>
                <w:szCs w:val="24"/>
              </w:rPr>
              <w:t>F、400免费热线，提供不间断的400免费热线。</w:t>
            </w:r>
          </w:p>
        </w:tc>
        <w:tc>
          <w:tcPr>
            <w:tcW w:w="384" w:type="pct"/>
            <w:shd w:val="clear" w:color="auto" w:fill="auto"/>
            <w:noWrap/>
            <w:vAlign w:val="center"/>
          </w:tcPr>
          <w:p w14:paraId="710965BC" w14:textId="0E0F06F2" w:rsidR="00D33AFC" w:rsidRPr="00703514" w:rsidRDefault="009F62CE" w:rsidP="00305331">
            <w:pPr>
              <w:rPr>
                <w:sz w:val="24"/>
                <w:szCs w:val="24"/>
              </w:rPr>
            </w:pPr>
            <w:r>
              <w:rPr>
                <w:rFonts w:hint="eastAsia"/>
                <w:sz w:val="24"/>
                <w:szCs w:val="24"/>
              </w:rPr>
              <w:t>套</w:t>
            </w:r>
          </w:p>
        </w:tc>
        <w:tc>
          <w:tcPr>
            <w:tcW w:w="462" w:type="pct"/>
            <w:shd w:val="clear" w:color="auto" w:fill="auto"/>
            <w:noWrap/>
            <w:vAlign w:val="center"/>
          </w:tcPr>
          <w:p w14:paraId="1090C440" w14:textId="1943EBD9" w:rsidR="00D33AFC" w:rsidRPr="00703514" w:rsidRDefault="002613DD" w:rsidP="00E25AC2">
            <w:pPr>
              <w:jc w:val="center"/>
              <w:rPr>
                <w:sz w:val="24"/>
                <w:szCs w:val="24"/>
              </w:rPr>
            </w:pPr>
            <w:r>
              <w:rPr>
                <w:sz w:val="24"/>
                <w:szCs w:val="24"/>
              </w:rPr>
              <w:t>1</w:t>
            </w:r>
          </w:p>
        </w:tc>
      </w:tr>
    </w:tbl>
    <w:p w14:paraId="6959761B" w14:textId="4B2697AF" w:rsidR="00E4327B" w:rsidRPr="00703514" w:rsidRDefault="00E4327B" w:rsidP="0019120A">
      <w:pPr>
        <w:spacing w:line="276" w:lineRule="auto"/>
      </w:pPr>
    </w:p>
    <w:sectPr w:rsidR="00E4327B" w:rsidRPr="00703514" w:rsidSect="007D1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CA22" w14:textId="77777777" w:rsidR="00931CA6" w:rsidRDefault="00931CA6" w:rsidP="00305331">
      <w:r>
        <w:separator/>
      </w:r>
    </w:p>
  </w:endnote>
  <w:endnote w:type="continuationSeparator" w:id="0">
    <w:p w14:paraId="176EA218" w14:textId="77777777" w:rsidR="00931CA6" w:rsidRDefault="00931CA6" w:rsidP="0030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50409" w14:textId="77777777" w:rsidR="00931CA6" w:rsidRDefault="00931CA6" w:rsidP="00305331">
      <w:r>
        <w:separator/>
      </w:r>
    </w:p>
  </w:footnote>
  <w:footnote w:type="continuationSeparator" w:id="0">
    <w:p w14:paraId="0901136E" w14:textId="77777777" w:rsidR="00931CA6" w:rsidRDefault="00931CA6" w:rsidP="0030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CB5"/>
    <w:multiLevelType w:val="hybridMultilevel"/>
    <w:tmpl w:val="CE343A26"/>
    <w:lvl w:ilvl="0" w:tplc="C6E60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E5E05"/>
    <w:multiLevelType w:val="hybridMultilevel"/>
    <w:tmpl w:val="9CD8782C"/>
    <w:lvl w:ilvl="0" w:tplc="AFEA47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AF2444"/>
    <w:multiLevelType w:val="hybridMultilevel"/>
    <w:tmpl w:val="69846C82"/>
    <w:lvl w:ilvl="0" w:tplc="6C28CEE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6710D9"/>
    <w:multiLevelType w:val="hybridMultilevel"/>
    <w:tmpl w:val="721886AE"/>
    <w:lvl w:ilvl="0" w:tplc="0409000F">
      <w:start w:val="1"/>
      <w:numFmt w:val="decimal"/>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49EF1095"/>
    <w:multiLevelType w:val="hybridMultilevel"/>
    <w:tmpl w:val="AED8098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7C43D7"/>
    <w:multiLevelType w:val="hybridMultilevel"/>
    <w:tmpl w:val="C0A4CA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D0DB1"/>
    <w:multiLevelType w:val="hybridMultilevel"/>
    <w:tmpl w:val="4F6C43FA"/>
    <w:lvl w:ilvl="0" w:tplc="8376B8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335CB3"/>
    <w:multiLevelType w:val="hybridMultilevel"/>
    <w:tmpl w:val="54B89E8A"/>
    <w:lvl w:ilvl="0" w:tplc="04090011">
      <w:start w:val="1"/>
      <w:numFmt w:val="decimal"/>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6"/>
  </w:num>
  <w:num w:numId="2">
    <w:abstractNumId w:val="0"/>
  </w:num>
  <w:num w:numId="3">
    <w:abstractNumId w:val="5"/>
  </w:num>
  <w:num w:numId="4">
    <w:abstractNumId w:val="3"/>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51"/>
    <w:rsid w:val="00013B25"/>
    <w:rsid w:val="000337E2"/>
    <w:rsid w:val="00053A20"/>
    <w:rsid w:val="000605CB"/>
    <w:rsid w:val="00094835"/>
    <w:rsid w:val="000A19EB"/>
    <w:rsid w:val="000A451D"/>
    <w:rsid w:val="000C3895"/>
    <w:rsid w:val="000D1A7D"/>
    <w:rsid w:val="000D2ECA"/>
    <w:rsid w:val="000D3597"/>
    <w:rsid w:val="000E6C78"/>
    <w:rsid w:val="000F1F50"/>
    <w:rsid w:val="000F635B"/>
    <w:rsid w:val="000F7C5C"/>
    <w:rsid w:val="00121F7D"/>
    <w:rsid w:val="001440F9"/>
    <w:rsid w:val="00157D92"/>
    <w:rsid w:val="00160386"/>
    <w:rsid w:val="001760CD"/>
    <w:rsid w:val="00186FA2"/>
    <w:rsid w:val="0019120A"/>
    <w:rsid w:val="0019469F"/>
    <w:rsid w:val="001C57C9"/>
    <w:rsid w:val="001F5305"/>
    <w:rsid w:val="00223B8F"/>
    <w:rsid w:val="002430FB"/>
    <w:rsid w:val="0025383A"/>
    <w:rsid w:val="00254202"/>
    <w:rsid w:val="002613DD"/>
    <w:rsid w:val="00266C8D"/>
    <w:rsid w:val="00283699"/>
    <w:rsid w:val="00296FB5"/>
    <w:rsid w:val="002A5E87"/>
    <w:rsid w:val="002B539C"/>
    <w:rsid w:val="002B77FC"/>
    <w:rsid w:val="00305331"/>
    <w:rsid w:val="0034799D"/>
    <w:rsid w:val="0037010E"/>
    <w:rsid w:val="003745B0"/>
    <w:rsid w:val="00393E0F"/>
    <w:rsid w:val="003963FF"/>
    <w:rsid w:val="003B5704"/>
    <w:rsid w:val="003C20C9"/>
    <w:rsid w:val="003D3E38"/>
    <w:rsid w:val="003D4694"/>
    <w:rsid w:val="003D5AB2"/>
    <w:rsid w:val="003E1553"/>
    <w:rsid w:val="003E58EB"/>
    <w:rsid w:val="003F637F"/>
    <w:rsid w:val="00403818"/>
    <w:rsid w:val="004449E5"/>
    <w:rsid w:val="00466A40"/>
    <w:rsid w:val="004A0C8F"/>
    <w:rsid w:val="004A3487"/>
    <w:rsid w:val="004D6A04"/>
    <w:rsid w:val="0051215B"/>
    <w:rsid w:val="00515DE5"/>
    <w:rsid w:val="005256EF"/>
    <w:rsid w:val="0053252D"/>
    <w:rsid w:val="00562CF4"/>
    <w:rsid w:val="00574046"/>
    <w:rsid w:val="005A0D5A"/>
    <w:rsid w:val="005C0F83"/>
    <w:rsid w:val="005E3E97"/>
    <w:rsid w:val="005E403C"/>
    <w:rsid w:val="005F7F96"/>
    <w:rsid w:val="00613819"/>
    <w:rsid w:val="00621498"/>
    <w:rsid w:val="006229D5"/>
    <w:rsid w:val="006331F1"/>
    <w:rsid w:val="00634574"/>
    <w:rsid w:val="006365F5"/>
    <w:rsid w:val="00652F7E"/>
    <w:rsid w:val="00653B73"/>
    <w:rsid w:val="00663388"/>
    <w:rsid w:val="006E37C9"/>
    <w:rsid w:val="0070219A"/>
    <w:rsid w:val="00703514"/>
    <w:rsid w:val="00752E93"/>
    <w:rsid w:val="0075586E"/>
    <w:rsid w:val="00757BF7"/>
    <w:rsid w:val="00760054"/>
    <w:rsid w:val="007760DF"/>
    <w:rsid w:val="00791939"/>
    <w:rsid w:val="0079276C"/>
    <w:rsid w:val="007A7229"/>
    <w:rsid w:val="007D1B59"/>
    <w:rsid w:val="007F6100"/>
    <w:rsid w:val="00810F84"/>
    <w:rsid w:val="00820C66"/>
    <w:rsid w:val="00840E51"/>
    <w:rsid w:val="00860B39"/>
    <w:rsid w:val="008717BA"/>
    <w:rsid w:val="00874AD1"/>
    <w:rsid w:val="008F2546"/>
    <w:rsid w:val="00901BB5"/>
    <w:rsid w:val="0090423A"/>
    <w:rsid w:val="00916419"/>
    <w:rsid w:val="00923F6F"/>
    <w:rsid w:val="00931CA6"/>
    <w:rsid w:val="00942D96"/>
    <w:rsid w:val="0094788E"/>
    <w:rsid w:val="00963FE1"/>
    <w:rsid w:val="009759E6"/>
    <w:rsid w:val="0098031A"/>
    <w:rsid w:val="009976FA"/>
    <w:rsid w:val="009A5547"/>
    <w:rsid w:val="009B64C9"/>
    <w:rsid w:val="009E74F3"/>
    <w:rsid w:val="009F62CE"/>
    <w:rsid w:val="00A30119"/>
    <w:rsid w:val="00A609CE"/>
    <w:rsid w:val="00A61AF7"/>
    <w:rsid w:val="00AC0AB0"/>
    <w:rsid w:val="00AD33BC"/>
    <w:rsid w:val="00AE3EFB"/>
    <w:rsid w:val="00AE4D91"/>
    <w:rsid w:val="00AF532F"/>
    <w:rsid w:val="00B02E49"/>
    <w:rsid w:val="00B104FF"/>
    <w:rsid w:val="00B14B43"/>
    <w:rsid w:val="00B650D3"/>
    <w:rsid w:val="00BD23B1"/>
    <w:rsid w:val="00BD4E1F"/>
    <w:rsid w:val="00BD5448"/>
    <w:rsid w:val="00BD6638"/>
    <w:rsid w:val="00BD7F3C"/>
    <w:rsid w:val="00BE0A07"/>
    <w:rsid w:val="00BF1870"/>
    <w:rsid w:val="00C12EF9"/>
    <w:rsid w:val="00C14658"/>
    <w:rsid w:val="00C24158"/>
    <w:rsid w:val="00C46F92"/>
    <w:rsid w:val="00C508DF"/>
    <w:rsid w:val="00C60370"/>
    <w:rsid w:val="00C63C5A"/>
    <w:rsid w:val="00C73D66"/>
    <w:rsid w:val="00C73F58"/>
    <w:rsid w:val="00C83FC8"/>
    <w:rsid w:val="00CC6DFE"/>
    <w:rsid w:val="00CD6BA7"/>
    <w:rsid w:val="00CE4F7D"/>
    <w:rsid w:val="00CE62CF"/>
    <w:rsid w:val="00D23D37"/>
    <w:rsid w:val="00D33AFC"/>
    <w:rsid w:val="00D44C77"/>
    <w:rsid w:val="00D4783B"/>
    <w:rsid w:val="00DA1372"/>
    <w:rsid w:val="00DB5638"/>
    <w:rsid w:val="00DC5A7B"/>
    <w:rsid w:val="00DD1457"/>
    <w:rsid w:val="00DE4C17"/>
    <w:rsid w:val="00E03DCB"/>
    <w:rsid w:val="00E16144"/>
    <w:rsid w:val="00E25AC2"/>
    <w:rsid w:val="00E310C0"/>
    <w:rsid w:val="00E37F7E"/>
    <w:rsid w:val="00E4327B"/>
    <w:rsid w:val="00E52290"/>
    <w:rsid w:val="00E66107"/>
    <w:rsid w:val="00E76912"/>
    <w:rsid w:val="00EB52D7"/>
    <w:rsid w:val="00ED5976"/>
    <w:rsid w:val="00ED72E1"/>
    <w:rsid w:val="00EF0E03"/>
    <w:rsid w:val="00F132AC"/>
    <w:rsid w:val="00F37037"/>
    <w:rsid w:val="00F63A62"/>
    <w:rsid w:val="00F9583C"/>
    <w:rsid w:val="00F971BF"/>
    <w:rsid w:val="00F97A6A"/>
    <w:rsid w:val="00FA0F3B"/>
    <w:rsid w:val="00FA2B88"/>
    <w:rsid w:val="00FD24CC"/>
    <w:rsid w:val="00FD66BD"/>
    <w:rsid w:val="00FE70B2"/>
    <w:rsid w:val="00FE7DAA"/>
    <w:rsid w:val="00FF0B02"/>
    <w:rsid w:val="00FF4575"/>
    <w:rsid w:val="00FF7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74A6D"/>
  <w15:docId w15:val="{6524D03B-E44F-41F8-BADC-3647B82A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AC0"/>
    <w:pPr>
      <w:widowControl w:val="0"/>
      <w:jc w:val="both"/>
    </w:pPr>
    <w:rPr>
      <w:rFonts w:ascii="仿宋" w:eastAsia="仿宋" w:hAnsi="仿宋"/>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7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37E2"/>
    <w:rPr>
      <w:sz w:val="18"/>
      <w:szCs w:val="18"/>
    </w:rPr>
  </w:style>
  <w:style w:type="paragraph" w:styleId="a5">
    <w:name w:val="footer"/>
    <w:basedOn w:val="a"/>
    <w:link w:val="a6"/>
    <w:uiPriority w:val="99"/>
    <w:unhideWhenUsed/>
    <w:rsid w:val="000337E2"/>
    <w:pPr>
      <w:tabs>
        <w:tab w:val="center" w:pos="4153"/>
        <w:tab w:val="right" w:pos="8306"/>
      </w:tabs>
      <w:snapToGrid w:val="0"/>
      <w:jc w:val="left"/>
    </w:pPr>
    <w:rPr>
      <w:sz w:val="18"/>
      <w:szCs w:val="18"/>
    </w:rPr>
  </w:style>
  <w:style w:type="character" w:customStyle="1" w:styleId="a6">
    <w:name w:val="页脚 字符"/>
    <w:basedOn w:val="a0"/>
    <w:link w:val="a5"/>
    <w:uiPriority w:val="99"/>
    <w:rsid w:val="000337E2"/>
    <w:rPr>
      <w:sz w:val="18"/>
      <w:szCs w:val="18"/>
    </w:rPr>
  </w:style>
  <w:style w:type="paragraph" w:styleId="a7">
    <w:name w:val="List Paragraph"/>
    <w:basedOn w:val="a"/>
    <w:uiPriority w:val="34"/>
    <w:qFormat/>
    <w:rsid w:val="00186FA2"/>
    <w:pPr>
      <w:ind w:firstLineChars="200" w:firstLine="420"/>
    </w:pPr>
  </w:style>
  <w:style w:type="paragraph" w:styleId="a8">
    <w:name w:val="Balloon Text"/>
    <w:basedOn w:val="a"/>
    <w:link w:val="a9"/>
    <w:uiPriority w:val="99"/>
    <w:semiHidden/>
    <w:unhideWhenUsed/>
    <w:rsid w:val="00E66107"/>
    <w:rPr>
      <w:sz w:val="18"/>
      <w:szCs w:val="18"/>
    </w:rPr>
  </w:style>
  <w:style w:type="character" w:customStyle="1" w:styleId="a9">
    <w:name w:val="批注框文本 字符"/>
    <w:basedOn w:val="a0"/>
    <w:link w:val="a8"/>
    <w:uiPriority w:val="99"/>
    <w:semiHidden/>
    <w:rsid w:val="00E66107"/>
    <w:rPr>
      <w:rFonts w:ascii="仿宋" w:eastAsia="仿宋" w:hAnsi="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2656">
      <w:bodyDiv w:val="1"/>
      <w:marLeft w:val="0"/>
      <w:marRight w:val="0"/>
      <w:marTop w:val="0"/>
      <w:marBottom w:val="0"/>
      <w:divBdr>
        <w:top w:val="none" w:sz="0" w:space="0" w:color="auto"/>
        <w:left w:val="none" w:sz="0" w:space="0" w:color="auto"/>
        <w:bottom w:val="none" w:sz="0" w:space="0" w:color="auto"/>
        <w:right w:val="none" w:sz="0" w:space="0" w:color="auto"/>
      </w:divBdr>
    </w:div>
    <w:div w:id="10702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0FDFB-3E6C-4A1B-8336-8A35350E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dc:creator>
  <cp:keywords/>
  <dc:description/>
  <cp:lastModifiedBy>deng</cp:lastModifiedBy>
  <cp:revision>74</cp:revision>
  <cp:lastPrinted>2021-07-13T06:12:00Z</cp:lastPrinted>
  <dcterms:created xsi:type="dcterms:W3CDTF">2021-07-13T06:05:00Z</dcterms:created>
  <dcterms:modified xsi:type="dcterms:W3CDTF">2021-07-13T06:35:00Z</dcterms:modified>
</cp:coreProperties>
</file>